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9F26" w14:textId="41522DF4" w:rsidR="006E2DCF" w:rsidRDefault="001A17A4" w:rsidP="006E2D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E2DCF" w:rsidRPr="00813541">
        <w:rPr>
          <w:b/>
          <w:sz w:val="32"/>
          <w:szCs w:val="32"/>
        </w:rPr>
        <w:t xml:space="preserve">he APC Gender Pay Gap Report </w:t>
      </w:r>
      <w:r w:rsidR="00795BFB">
        <w:rPr>
          <w:b/>
          <w:sz w:val="32"/>
          <w:szCs w:val="32"/>
        </w:rPr>
        <w:t>202</w:t>
      </w:r>
      <w:r w:rsidR="006F1A2B">
        <w:rPr>
          <w:b/>
          <w:sz w:val="32"/>
          <w:szCs w:val="32"/>
        </w:rPr>
        <w:t>2</w:t>
      </w:r>
    </w:p>
    <w:p w14:paraId="6B9D43C7" w14:textId="08B9C25C" w:rsidR="0069296D" w:rsidRPr="00813541" w:rsidRDefault="005075C7" w:rsidP="006E2D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Issued March </w:t>
      </w:r>
      <w:r w:rsidR="00795BFB">
        <w:rPr>
          <w:b/>
          <w:sz w:val="32"/>
          <w:szCs w:val="32"/>
        </w:rPr>
        <w:t>202</w:t>
      </w:r>
      <w:r w:rsidR="006F1A2B">
        <w:rPr>
          <w:b/>
          <w:sz w:val="32"/>
          <w:szCs w:val="32"/>
        </w:rPr>
        <w:t>3</w:t>
      </w:r>
    </w:p>
    <w:p w14:paraId="0B3E145E" w14:textId="77777777" w:rsidR="006E2DCF" w:rsidRDefault="006E2DCF" w:rsidP="006E2DCF"/>
    <w:p w14:paraId="1C2C724D" w14:textId="33AEF0F4" w:rsidR="00DC1764" w:rsidRPr="00611EA5" w:rsidRDefault="006E2DCF" w:rsidP="00611EA5">
      <w:pPr>
        <w:jc w:val="both"/>
        <w:rPr>
          <w:rFonts w:ascii="Arial" w:hAnsi="Arial" w:cs="Arial"/>
        </w:rPr>
      </w:pPr>
      <w:r w:rsidRPr="00611EA5">
        <w:rPr>
          <w:rFonts w:ascii="Arial" w:hAnsi="Arial" w:cs="Arial"/>
        </w:rPr>
        <w:t>The APC is proud of its inclusive employment practices</w:t>
      </w:r>
      <w:r w:rsidR="004E10E8">
        <w:rPr>
          <w:rFonts w:ascii="Arial" w:hAnsi="Arial" w:cs="Arial"/>
        </w:rPr>
        <w:t xml:space="preserve">. </w:t>
      </w:r>
      <w:r w:rsidR="009B1A89">
        <w:rPr>
          <w:rFonts w:ascii="Arial" w:hAnsi="Arial" w:cs="Arial"/>
        </w:rPr>
        <w:t>We recognise that o</w:t>
      </w:r>
      <w:r w:rsidR="004E10E8">
        <w:rPr>
          <w:rFonts w:ascii="Arial" w:hAnsi="Arial" w:cs="Arial"/>
        </w:rPr>
        <w:t xml:space="preserve">ur people are our most important </w:t>
      </w:r>
      <w:r w:rsidR="009B1A89">
        <w:rPr>
          <w:rFonts w:ascii="Arial" w:hAnsi="Arial" w:cs="Arial"/>
        </w:rPr>
        <w:t>asset,</w:t>
      </w:r>
      <w:r w:rsidR="004E10E8">
        <w:rPr>
          <w:rFonts w:ascii="Arial" w:hAnsi="Arial" w:cs="Arial"/>
        </w:rPr>
        <w:t xml:space="preserve"> and </w:t>
      </w:r>
      <w:r w:rsidR="009B1A89">
        <w:rPr>
          <w:rFonts w:ascii="Arial" w:hAnsi="Arial" w:cs="Arial"/>
        </w:rPr>
        <w:t xml:space="preserve">that </w:t>
      </w:r>
      <w:r w:rsidR="004E10E8">
        <w:rPr>
          <w:rFonts w:ascii="Arial" w:hAnsi="Arial" w:cs="Arial"/>
        </w:rPr>
        <w:t xml:space="preserve">they are integral </w:t>
      </w:r>
      <w:r w:rsidR="009B1A89">
        <w:rPr>
          <w:rFonts w:ascii="Arial" w:hAnsi="Arial" w:cs="Arial"/>
        </w:rPr>
        <w:t>t</w:t>
      </w:r>
      <w:r w:rsidR="004E10E8">
        <w:rPr>
          <w:rFonts w:ascii="Arial" w:hAnsi="Arial" w:cs="Arial"/>
        </w:rPr>
        <w:t xml:space="preserve">o </w:t>
      </w:r>
      <w:r w:rsidR="009B1A89">
        <w:rPr>
          <w:rFonts w:ascii="Arial" w:hAnsi="Arial" w:cs="Arial"/>
        </w:rPr>
        <w:t>us in ac</w:t>
      </w:r>
      <w:r w:rsidR="004E10E8">
        <w:rPr>
          <w:rFonts w:ascii="Arial" w:hAnsi="Arial" w:cs="Arial"/>
        </w:rPr>
        <w:t>hiev</w:t>
      </w:r>
      <w:r w:rsidR="009B1A89">
        <w:rPr>
          <w:rFonts w:ascii="Arial" w:hAnsi="Arial" w:cs="Arial"/>
        </w:rPr>
        <w:t>ing</w:t>
      </w:r>
      <w:r w:rsidR="004E10E8">
        <w:rPr>
          <w:rFonts w:ascii="Arial" w:hAnsi="Arial" w:cs="Arial"/>
        </w:rPr>
        <w:t xml:space="preserve"> our business aims and objectives. We believe in fairness and equality for all our colleagues and our </w:t>
      </w:r>
      <w:r w:rsidR="009B1A89">
        <w:rPr>
          <w:rFonts w:ascii="Arial" w:hAnsi="Arial" w:cs="Arial"/>
        </w:rPr>
        <w:t>pay and remuneration</w:t>
      </w:r>
      <w:r w:rsidR="004E10E8">
        <w:rPr>
          <w:rFonts w:ascii="Arial" w:hAnsi="Arial" w:cs="Arial"/>
        </w:rPr>
        <w:t xml:space="preserve"> </w:t>
      </w:r>
      <w:r w:rsidR="009B1A89">
        <w:rPr>
          <w:rFonts w:ascii="Arial" w:hAnsi="Arial" w:cs="Arial"/>
        </w:rPr>
        <w:t>structures</w:t>
      </w:r>
      <w:r w:rsidR="002A752F">
        <w:rPr>
          <w:rFonts w:ascii="Arial" w:hAnsi="Arial" w:cs="Arial"/>
        </w:rPr>
        <w:t xml:space="preserve"> are reviewed regularly to ensure they</w:t>
      </w:r>
      <w:r w:rsidR="009B1A89">
        <w:rPr>
          <w:rFonts w:ascii="Arial" w:hAnsi="Arial" w:cs="Arial"/>
        </w:rPr>
        <w:t xml:space="preserve"> reflect </w:t>
      </w:r>
      <w:r w:rsidR="002A752F">
        <w:rPr>
          <w:rFonts w:ascii="Arial" w:hAnsi="Arial" w:cs="Arial"/>
        </w:rPr>
        <w:t>this. At the point of gathering data for this report (the “</w:t>
      </w:r>
      <w:r w:rsidR="002A752F" w:rsidRPr="00CB4144">
        <w:rPr>
          <w:rFonts w:ascii="Arial" w:hAnsi="Arial" w:cs="Arial"/>
        </w:rPr>
        <w:t>snapshot date</w:t>
      </w:r>
      <w:r w:rsidR="00611EA5" w:rsidRPr="00CB4144">
        <w:rPr>
          <w:rFonts w:ascii="Arial" w:hAnsi="Arial" w:cs="Arial"/>
        </w:rPr>
        <w:t>”) the</w:t>
      </w:r>
      <w:r w:rsidR="002A752F" w:rsidRPr="00CB4144">
        <w:rPr>
          <w:rFonts w:ascii="Arial" w:hAnsi="Arial" w:cs="Arial"/>
        </w:rPr>
        <w:t xml:space="preserve"> </w:t>
      </w:r>
      <w:r w:rsidR="00AF0A46" w:rsidRPr="00CB4144">
        <w:rPr>
          <w:rFonts w:ascii="Arial" w:hAnsi="Arial" w:cs="Arial"/>
        </w:rPr>
        <w:t>representation</w:t>
      </w:r>
      <w:r w:rsidR="00F55039" w:rsidRPr="00611EA5">
        <w:rPr>
          <w:rFonts w:ascii="Arial" w:hAnsi="Arial" w:cs="Arial"/>
        </w:rPr>
        <w:t xml:space="preserve"> of </w:t>
      </w:r>
      <w:r w:rsidR="00BF6126" w:rsidRPr="00611EA5">
        <w:rPr>
          <w:rFonts w:ascii="Arial" w:hAnsi="Arial" w:cs="Arial"/>
        </w:rPr>
        <w:t xml:space="preserve">women </w:t>
      </w:r>
      <w:r w:rsidR="00F55039" w:rsidRPr="00611EA5">
        <w:rPr>
          <w:rFonts w:ascii="Arial" w:hAnsi="Arial" w:cs="Arial"/>
        </w:rPr>
        <w:t xml:space="preserve">in our workforce </w:t>
      </w:r>
      <w:r w:rsidR="00541340" w:rsidRPr="00CB4144">
        <w:rPr>
          <w:rFonts w:ascii="Arial" w:hAnsi="Arial" w:cs="Arial"/>
        </w:rPr>
        <w:t>is 26%, which is 0.8% above our average for the reporting years 2018 to 2022</w:t>
      </w:r>
      <w:r w:rsidR="00F55039" w:rsidRPr="00611EA5">
        <w:rPr>
          <w:rFonts w:ascii="Arial" w:hAnsi="Arial" w:cs="Arial"/>
        </w:rPr>
        <w:t xml:space="preserve">.  This level of participation remains </w:t>
      </w:r>
      <w:r w:rsidR="00BF6126" w:rsidRPr="00611EA5">
        <w:rPr>
          <w:rFonts w:ascii="Arial" w:hAnsi="Arial" w:cs="Arial"/>
        </w:rPr>
        <w:t xml:space="preserve">typical for the </w:t>
      </w:r>
      <w:r w:rsidR="00541340" w:rsidRPr="00CB4144">
        <w:rPr>
          <w:rFonts w:ascii="Arial" w:hAnsi="Arial" w:cs="Arial"/>
        </w:rPr>
        <w:t xml:space="preserve">transport and distribution </w:t>
      </w:r>
      <w:r w:rsidR="00BF6126" w:rsidRPr="00611EA5">
        <w:rPr>
          <w:rFonts w:ascii="Arial" w:hAnsi="Arial" w:cs="Arial"/>
        </w:rPr>
        <w:t xml:space="preserve">sector within which we </w:t>
      </w:r>
      <w:r w:rsidR="004E10E8" w:rsidRPr="00CB4144">
        <w:rPr>
          <w:rFonts w:ascii="Arial" w:hAnsi="Arial" w:cs="Arial"/>
        </w:rPr>
        <w:t>operate</w:t>
      </w:r>
      <w:r w:rsidR="00AF0A46" w:rsidRPr="00CB4144">
        <w:rPr>
          <w:rFonts w:ascii="Arial" w:hAnsi="Arial" w:cs="Arial"/>
        </w:rPr>
        <w:t>, however w</w:t>
      </w:r>
      <w:r w:rsidR="004E10E8" w:rsidRPr="00CB4144">
        <w:rPr>
          <w:rFonts w:ascii="Arial" w:hAnsi="Arial" w:cs="Arial"/>
        </w:rPr>
        <w:t>e</w:t>
      </w:r>
      <w:r w:rsidR="00DC1764" w:rsidRPr="00611EA5">
        <w:rPr>
          <w:rFonts w:ascii="Arial" w:hAnsi="Arial" w:cs="Arial"/>
        </w:rPr>
        <w:t xml:space="preserve"> remain committed to further promoting diversity within our workforce </w:t>
      </w:r>
      <w:r w:rsidR="00AC1E04">
        <w:rPr>
          <w:rFonts w:ascii="Arial" w:hAnsi="Arial" w:cs="Arial"/>
        </w:rPr>
        <w:t xml:space="preserve">to reflect society norms, </w:t>
      </w:r>
      <w:r w:rsidR="00DC1764" w:rsidRPr="00611EA5">
        <w:rPr>
          <w:rFonts w:ascii="Arial" w:hAnsi="Arial" w:cs="Arial"/>
        </w:rPr>
        <w:t>as w</w:t>
      </w:r>
      <w:r w:rsidRPr="00611EA5">
        <w:rPr>
          <w:rFonts w:ascii="Arial" w:hAnsi="Arial" w:cs="Arial"/>
        </w:rPr>
        <w:t xml:space="preserve">e believe </w:t>
      </w:r>
      <w:r w:rsidR="00DC1764" w:rsidRPr="00611EA5">
        <w:rPr>
          <w:rFonts w:ascii="Arial" w:hAnsi="Arial" w:cs="Arial"/>
        </w:rPr>
        <w:t xml:space="preserve">this </w:t>
      </w:r>
      <w:r w:rsidRPr="00611EA5">
        <w:rPr>
          <w:rFonts w:ascii="Arial" w:hAnsi="Arial" w:cs="Arial"/>
        </w:rPr>
        <w:t xml:space="preserve">contributes to </w:t>
      </w:r>
      <w:r w:rsidR="00AC1E04">
        <w:rPr>
          <w:rFonts w:ascii="Arial" w:hAnsi="Arial" w:cs="Arial"/>
        </w:rPr>
        <w:t xml:space="preserve">colleague engagement, innovation and creativity and </w:t>
      </w:r>
      <w:r w:rsidR="007262D6">
        <w:rPr>
          <w:rFonts w:ascii="Arial" w:hAnsi="Arial" w:cs="Arial"/>
        </w:rPr>
        <w:t xml:space="preserve">delivery of exceptional service standards for </w:t>
      </w:r>
      <w:r w:rsidRPr="00611EA5">
        <w:rPr>
          <w:rFonts w:ascii="Arial" w:hAnsi="Arial" w:cs="Arial"/>
        </w:rPr>
        <w:t xml:space="preserve">which we are known in our sector. </w:t>
      </w:r>
    </w:p>
    <w:p w14:paraId="67A0235A" w14:textId="1949E1E6" w:rsidR="006E2DCF" w:rsidRPr="00611EA5" w:rsidRDefault="006E2DCF" w:rsidP="00611EA5">
      <w:pPr>
        <w:jc w:val="both"/>
        <w:rPr>
          <w:rFonts w:ascii="Arial" w:hAnsi="Arial" w:cs="Arial"/>
        </w:rPr>
      </w:pPr>
      <w:r w:rsidRPr="00611EA5">
        <w:rPr>
          <w:rFonts w:ascii="Arial" w:hAnsi="Arial" w:cs="Arial"/>
        </w:rPr>
        <w:t xml:space="preserve">Our annual gender pay gap report is published in accordance with The Equality Act 2010 (Gender Pay Gap Information) Regulations 2017 and reflects our ongoing commitment to </w:t>
      </w:r>
      <w:r w:rsidR="006F1A2B" w:rsidRPr="00611EA5">
        <w:rPr>
          <w:rFonts w:ascii="Arial" w:hAnsi="Arial" w:cs="Arial"/>
        </w:rPr>
        <w:t xml:space="preserve">diversity, inclusion and </w:t>
      </w:r>
      <w:r w:rsidRPr="00611EA5">
        <w:rPr>
          <w:rFonts w:ascii="Arial" w:hAnsi="Arial" w:cs="Arial"/>
        </w:rPr>
        <w:t>equal opportunities</w:t>
      </w:r>
      <w:r w:rsidR="00541340" w:rsidRPr="00CB4144">
        <w:rPr>
          <w:rFonts w:ascii="Arial" w:hAnsi="Arial" w:cs="Arial"/>
        </w:rPr>
        <w:t xml:space="preserve"> within our business</w:t>
      </w:r>
      <w:r w:rsidRPr="00611EA5">
        <w:rPr>
          <w:rFonts w:ascii="Arial" w:hAnsi="Arial" w:cs="Arial"/>
        </w:rPr>
        <w:t xml:space="preserve">.  </w:t>
      </w:r>
    </w:p>
    <w:p w14:paraId="08A76712" w14:textId="6296DC5F" w:rsidR="00DC1764" w:rsidRPr="00611EA5" w:rsidRDefault="00DA0EB4" w:rsidP="00611EA5">
      <w:pPr>
        <w:jc w:val="both"/>
        <w:rPr>
          <w:rFonts w:ascii="Arial" w:hAnsi="Arial" w:cs="Arial"/>
        </w:rPr>
      </w:pPr>
      <w:r w:rsidRPr="00611EA5">
        <w:rPr>
          <w:rFonts w:ascii="Arial" w:hAnsi="Arial" w:cs="Arial"/>
        </w:rPr>
        <w:t xml:space="preserve">This year we are delighted to report that our mean </w:t>
      </w:r>
      <w:r w:rsidR="006E2DCF" w:rsidRPr="00611EA5">
        <w:rPr>
          <w:rFonts w:ascii="Arial" w:hAnsi="Arial" w:cs="Arial"/>
        </w:rPr>
        <w:t xml:space="preserve">gender pay gap is </w:t>
      </w:r>
      <w:r w:rsidR="00541340" w:rsidRPr="00611EA5">
        <w:rPr>
          <w:rFonts w:ascii="Arial" w:hAnsi="Arial" w:cs="Arial"/>
        </w:rPr>
        <w:t>-3.2%</w:t>
      </w:r>
      <w:r w:rsidRPr="00611EA5">
        <w:rPr>
          <w:rFonts w:ascii="Arial" w:hAnsi="Arial" w:cs="Arial"/>
        </w:rPr>
        <w:t xml:space="preserve">, </w:t>
      </w:r>
      <w:r w:rsidR="00541340" w:rsidRPr="00611EA5">
        <w:rPr>
          <w:rFonts w:ascii="Arial" w:hAnsi="Arial" w:cs="Arial"/>
        </w:rPr>
        <w:t xml:space="preserve">this represents a 2.2% </w:t>
      </w:r>
      <w:r w:rsidR="003424AA" w:rsidRPr="00611EA5">
        <w:rPr>
          <w:rFonts w:ascii="Arial" w:hAnsi="Arial" w:cs="Arial"/>
        </w:rPr>
        <w:t>improvement</w:t>
      </w:r>
      <w:r w:rsidRPr="00611EA5">
        <w:rPr>
          <w:rFonts w:ascii="Arial" w:hAnsi="Arial" w:cs="Arial"/>
        </w:rPr>
        <w:t xml:space="preserve"> that is favourable to female colleagues </w:t>
      </w:r>
      <w:r w:rsidR="003424AA" w:rsidRPr="00611EA5">
        <w:rPr>
          <w:rFonts w:ascii="Arial" w:hAnsi="Arial" w:cs="Arial"/>
        </w:rPr>
        <w:t>when compared to our reported data in 2021.</w:t>
      </w:r>
      <w:r w:rsidR="00DC1764" w:rsidRPr="00611EA5">
        <w:rPr>
          <w:rFonts w:ascii="Arial" w:hAnsi="Arial" w:cs="Arial"/>
        </w:rPr>
        <w:t xml:space="preserve">  </w:t>
      </w:r>
      <w:r w:rsidRPr="00611EA5">
        <w:rPr>
          <w:rFonts w:ascii="Arial" w:hAnsi="Arial" w:cs="Arial"/>
        </w:rPr>
        <w:t>This</w:t>
      </w:r>
      <w:r w:rsidR="00795BFB" w:rsidRPr="00611EA5">
        <w:rPr>
          <w:rFonts w:ascii="Arial" w:hAnsi="Arial" w:cs="Arial"/>
        </w:rPr>
        <w:t xml:space="preserve"> improvement reflects our continued investment in the </w:t>
      </w:r>
      <w:r w:rsidR="003424AA" w:rsidRPr="00CB4144">
        <w:rPr>
          <w:rFonts w:ascii="Arial" w:hAnsi="Arial" w:cs="Arial"/>
        </w:rPr>
        <w:t xml:space="preserve">learning </w:t>
      </w:r>
      <w:r w:rsidR="00795BFB" w:rsidRPr="00611EA5">
        <w:rPr>
          <w:rFonts w:ascii="Arial" w:hAnsi="Arial" w:cs="Arial"/>
        </w:rPr>
        <w:t>and development of women throughout our business</w:t>
      </w:r>
      <w:r w:rsidR="001C224B" w:rsidRPr="00611EA5">
        <w:rPr>
          <w:rFonts w:ascii="Arial" w:hAnsi="Arial" w:cs="Arial"/>
        </w:rPr>
        <w:t xml:space="preserve"> and a subsequent increase in female participation in leadership and managerial roles</w:t>
      </w:r>
      <w:r w:rsidR="00795BFB" w:rsidRPr="00611EA5">
        <w:rPr>
          <w:rFonts w:ascii="Arial" w:hAnsi="Arial" w:cs="Arial"/>
        </w:rPr>
        <w:t xml:space="preserve">. </w:t>
      </w:r>
    </w:p>
    <w:p w14:paraId="5E455A87" w14:textId="7F2463F5" w:rsidR="00813541" w:rsidRPr="00611EA5" w:rsidRDefault="006E2DCF" w:rsidP="00611EA5">
      <w:pPr>
        <w:jc w:val="both"/>
        <w:rPr>
          <w:rFonts w:ascii="Arial" w:hAnsi="Arial" w:cs="Arial"/>
        </w:rPr>
      </w:pPr>
      <w:r w:rsidRPr="00611EA5">
        <w:rPr>
          <w:rFonts w:ascii="Arial" w:hAnsi="Arial" w:cs="Arial"/>
        </w:rPr>
        <w:t>Our median gender pay gap is</w:t>
      </w:r>
      <w:r w:rsidR="00454868" w:rsidRPr="00611EA5">
        <w:rPr>
          <w:rFonts w:ascii="Arial" w:hAnsi="Arial" w:cs="Arial"/>
        </w:rPr>
        <w:t xml:space="preserve"> </w:t>
      </w:r>
      <w:r w:rsidR="00F37E9B" w:rsidRPr="00611EA5">
        <w:rPr>
          <w:rFonts w:ascii="Arial" w:hAnsi="Arial" w:cs="Arial"/>
        </w:rPr>
        <w:t>-2.4%</w:t>
      </w:r>
      <w:r w:rsidRPr="00611EA5">
        <w:rPr>
          <w:rFonts w:ascii="Arial" w:hAnsi="Arial" w:cs="Arial"/>
        </w:rPr>
        <w:t xml:space="preserve">% which </w:t>
      </w:r>
      <w:r w:rsidR="00F37E9B" w:rsidRPr="00611EA5">
        <w:rPr>
          <w:rFonts w:ascii="Arial" w:hAnsi="Arial" w:cs="Arial"/>
        </w:rPr>
        <w:t>is a 2.4% improvement when compared to the data reported for 2021.</w:t>
      </w:r>
      <w:r w:rsidR="007B2738" w:rsidRPr="00611EA5">
        <w:rPr>
          <w:rFonts w:ascii="Arial" w:hAnsi="Arial" w:cs="Arial"/>
        </w:rPr>
        <w:t xml:space="preserve"> </w:t>
      </w: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580"/>
        <w:gridCol w:w="1600"/>
        <w:gridCol w:w="1600"/>
      </w:tblGrid>
      <w:tr w:rsidR="00E16DE6" w:rsidRPr="002B52C6" w14:paraId="36078F3B" w14:textId="77777777" w:rsidTr="00E16DE6">
        <w:trPr>
          <w:trHeight w:val="375"/>
          <w:jc w:val="center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25AEC755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Mean Gender Pay Gap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CFF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72809A9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Median Gender Pay Gap</w:t>
            </w:r>
          </w:p>
        </w:tc>
      </w:tr>
      <w:tr w:rsidR="00E16DE6" w:rsidRPr="002B52C6" w14:paraId="38E86BE1" w14:textId="77777777" w:rsidTr="00E16DE6">
        <w:trPr>
          <w:trHeight w:val="98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76B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DAB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953F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97C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EB58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6DE6" w:rsidRPr="002B52C6" w14:paraId="115FA6D4" w14:textId="77777777" w:rsidTr="00E16DE6">
        <w:trPr>
          <w:trHeight w:val="375"/>
          <w:jc w:val="center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77F7992" w14:textId="6A2AE21B" w:rsidR="00E16DE6" w:rsidRPr="00611EA5" w:rsidRDefault="003424AA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-3.2%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FEC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6ED7F5" w14:textId="0A311741" w:rsidR="00E16DE6" w:rsidRPr="00611EA5" w:rsidRDefault="003424AA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-2.4%</w:t>
            </w:r>
          </w:p>
        </w:tc>
      </w:tr>
    </w:tbl>
    <w:p w14:paraId="2FB321F7" w14:textId="77777777" w:rsidR="00BF6126" w:rsidRPr="00611EA5" w:rsidRDefault="00BF6126" w:rsidP="00611EA5">
      <w:pPr>
        <w:jc w:val="both"/>
        <w:rPr>
          <w:rFonts w:ascii="Arial" w:hAnsi="Arial" w:cs="Arial"/>
        </w:rPr>
      </w:pPr>
    </w:p>
    <w:p w14:paraId="062AC43F" w14:textId="5B30D6B2" w:rsidR="00B51596" w:rsidRPr="00611EA5" w:rsidRDefault="006E2DCF" w:rsidP="00611EA5">
      <w:pPr>
        <w:jc w:val="both"/>
        <w:rPr>
          <w:rFonts w:ascii="Arial" w:hAnsi="Arial" w:cs="Arial"/>
        </w:rPr>
      </w:pPr>
      <w:r w:rsidRPr="00611EA5">
        <w:rPr>
          <w:rFonts w:ascii="Arial" w:hAnsi="Arial" w:cs="Arial"/>
        </w:rPr>
        <w:t xml:space="preserve">Our mean </w:t>
      </w:r>
      <w:r w:rsidR="00BB10AD" w:rsidRPr="00611EA5">
        <w:rPr>
          <w:rFonts w:ascii="Arial" w:hAnsi="Arial" w:cs="Arial"/>
        </w:rPr>
        <w:t xml:space="preserve">bonus gender pay gap is </w:t>
      </w:r>
      <w:r w:rsidR="003424AA" w:rsidRPr="00052FDA">
        <w:rPr>
          <w:rFonts w:ascii="Arial" w:hAnsi="Arial" w:cs="Arial"/>
        </w:rPr>
        <w:t xml:space="preserve">17.9% </w:t>
      </w:r>
      <w:r w:rsidR="001C224B" w:rsidRPr="00052FDA">
        <w:rPr>
          <w:rFonts w:ascii="Arial" w:hAnsi="Arial" w:cs="Arial"/>
        </w:rPr>
        <w:t xml:space="preserve">which is </w:t>
      </w:r>
      <w:r w:rsidR="009C667A">
        <w:rPr>
          <w:rFonts w:ascii="Arial" w:hAnsi="Arial" w:cs="Arial"/>
        </w:rPr>
        <w:t>an increase when compared to 2021 which was</w:t>
      </w:r>
      <w:r w:rsidR="00052FDA" w:rsidRPr="00052FDA">
        <w:rPr>
          <w:rFonts w:ascii="Arial" w:hAnsi="Arial" w:cs="Arial"/>
        </w:rPr>
        <w:t xml:space="preserve"> </w:t>
      </w:r>
      <w:r w:rsidR="003424AA" w:rsidRPr="00052FDA">
        <w:rPr>
          <w:rFonts w:ascii="Arial" w:hAnsi="Arial" w:cs="Arial"/>
        </w:rPr>
        <w:t>4.7%</w:t>
      </w:r>
      <w:r w:rsidR="001C224B" w:rsidRPr="00052FDA">
        <w:rPr>
          <w:rFonts w:ascii="Arial" w:hAnsi="Arial" w:cs="Arial"/>
        </w:rPr>
        <w:t>.</w:t>
      </w:r>
      <w:r w:rsidR="00E51D07" w:rsidRPr="00611EA5">
        <w:rPr>
          <w:rFonts w:ascii="Arial" w:hAnsi="Arial" w:cs="Arial"/>
        </w:rPr>
        <w:t xml:space="preserve">  </w:t>
      </w:r>
      <w:r w:rsidR="00052FDA">
        <w:rPr>
          <w:rFonts w:ascii="Arial" w:hAnsi="Arial" w:cs="Arial"/>
        </w:rPr>
        <w:t xml:space="preserve">However, our </w:t>
      </w:r>
      <w:r w:rsidRPr="00611EA5">
        <w:rPr>
          <w:rFonts w:ascii="Arial" w:hAnsi="Arial" w:cs="Arial"/>
        </w:rPr>
        <w:t>median</w:t>
      </w:r>
      <w:r w:rsidR="0069296D" w:rsidRPr="00611EA5">
        <w:rPr>
          <w:rFonts w:ascii="Arial" w:hAnsi="Arial" w:cs="Arial"/>
        </w:rPr>
        <w:t xml:space="preserve"> bonus</w:t>
      </w:r>
      <w:r w:rsidRPr="00611EA5">
        <w:rPr>
          <w:rFonts w:ascii="Arial" w:hAnsi="Arial" w:cs="Arial"/>
        </w:rPr>
        <w:t xml:space="preserve"> gender pay gap is </w:t>
      </w:r>
      <w:r w:rsidR="00294495" w:rsidRPr="00052FDA">
        <w:rPr>
          <w:rFonts w:ascii="Arial" w:hAnsi="Arial" w:cs="Arial"/>
        </w:rPr>
        <w:t>-</w:t>
      </w:r>
      <w:r w:rsidR="00A0658C" w:rsidRPr="00052FDA">
        <w:rPr>
          <w:rFonts w:ascii="Arial" w:hAnsi="Arial" w:cs="Arial"/>
        </w:rPr>
        <w:t>180.3</w:t>
      </w:r>
      <w:r w:rsidR="00FC09A9" w:rsidRPr="00052FDA">
        <w:rPr>
          <w:rFonts w:ascii="Arial" w:hAnsi="Arial" w:cs="Arial"/>
        </w:rPr>
        <w:t>%</w:t>
      </w:r>
      <w:r w:rsidR="00FC09A9" w:rsidRPr="00DC1ED8">
        <w:rPr>
          <w:rFonts w:ascii="Arial" w:hAnsi="Arial" w:cs="Arial"/>
          <w:color w:val="FF0000"/>
        </w:rPr>
        <w:t xml:space="preserve"> </w:t>
      </w:r>
      <w:r w:rsidR="00BB10AD" w:rsidRPr="00611EA5">
        <w:rPr>
          <w:rFonts w:ascii="Arial" w:hAnsi="Arial" w:cs="Arial"/>
        </w:rPr>
        <w:t>favour</w:t>
      </w:r>
      <w:r w:rsidR="00FC09A9" w:rsidRPr="00611EA5">
        <w:rPr>
          <w:rFonts w:ascii="Arial" w:hAnsi="Arial" w:cs="Arial"/>
        </w:rPr>
        <w:t xml:space="preserve">able to female colleagues reflecting the ongoing </w:t>
      </w:r>
      <w:r w:rsidR="00294495" w:rsidRPr="00611EA5">
        <w:rPr>
          <w:rFonts w:ascii="Arial" w:hAnsi="Arial" w:cs="Arial"/>
        </w:rPr>
        <w:t xml:space="preserve">participation of women in bonus qualifying roles.  </w:t>
      </w:r>
      <w:r w:rsidR="00BF6126" w:rsidRPr="00611EA5">
        <w:rPr>
          <w:rFonts w:ascii="Arial" w:hAnsi="Arial" w:cs="Arial"/>
        </w:rPr>
        <w:t xml:space="preserve">It should be noted that the average value of bonus payments </w:t>
      </w:r>
      <w:r w:rsidR="00294495" w:rsidRPr="00611EA5">
        <w:rPr>
          <w:rFonts w:ascii="Arial" w:hAnsi="Arial" w:cs="Arial"/>
        </w:rPr>
        <w:t>still remains</w:t>
      </w:r>
      <w:r w:rsidR="00BF6126" w:rsidRPr="00611EA5">
        <w:rPr>
          <w:rFonts w:ascii="Arial" w:hAnsi="Arial" w:cs="Arial"/>
        </w:rPr>
        <w:t xml:space="preserve"> relatively small thus the percentage differential does not equate to a significant amount in real terms. </w:t>
      </w:r>
      <w:r w:rsidR="00586297" w:rsidRPr="00611EA5">
        <w:rPr>
          <w:rFonts w:ascii="Arial" w:hAnsi="Arial" w:cs="Arial"/>
        </w:rPr>
        <w:t xml:space="preserve"> Overall</w:t>
      </w:r>
      <w:r w:rsidR="00FC09A9" w:rsidRPr="00611EA5">
        <w:rPr>
          <w:rFonts w:ascii="Arial" w:hAnsi="Arial" w:cs="Arial"/>
        </w:rPr>
        <w:t>,</w:t>
      </w:r>
      <w:r w:rsidR="00586297" w:rsidRPr="00611EA5">
        <w:rPr>
          <w:rFonts w:ascii="Arial" w:hAnsi="Arial" w:cs="Arial"/>
        </w:rPr>
        <w:t xml:space="preserve"> </w:t>
      </w:r>
      <w:r w:rsidR="00A0658C" w:rsidRPr="00611EA5">
        <w:rPr>
          <w:rFonts w:ascii="Arial" w:hAnsi="Arial" w:cs="Arial"/>
        </w:rPr>
        <w:t>23.4</w:t>
      </w:r>
      <w:r w:rsidR="00FC09A9" w:rsidRPr="00611EA5">
        <w:rPr>
          <w:rFonts w:ascii="Arial" w:hAnsi="Arial" w:cs="Arial"/>
        </w:rPr>
        <w:t>%</w:t>
      </w:r>
      <w:r w:rsidR="00586297" w:rsidRPr="00611EA5">
        <w:rPr>
          <w:rFonts w:ascii="Arial" w:hAnsi="Arial" w:cs="Arial"/>
        </w:rPr>
        <w:t xml:space="preserve"> of </w:t>
      </w:r>
      <w:r w:rsidR="00FD1084" w:rsidRPr="00611EA5">
        <w:rPr>
          <w:rFonts w:ascii="Arial" w:hAnsi="Arial" w:cs="Arial"/>
        </w:rPr>
        <w:t xml:space="preserve">female employees and </w:t>
      </w:r>
      <w:r w:rsidR="00A0658C" w:rsidRPr="00611EA5">
        <w:rPr>
          <w:rFonts w:ascii="Arial" w:hAnsi="Arial" w:cs="Arial"/>
        </w:rPr>
        <w:t>14.9</w:t>
      </w:r>
      <w:r w:rsidR="00FC09A9" w:rsidRPr="00611EA5">
        <w:rPr>
          <w:rFonts w:ascii="Arial" w:hAnsi="Arial" w:cs="Arial"/>
        </w:rPr>
        <w:t>%</w:t>
      </w:r>
      <w:r w:rsidR="00FD1084" w:rsidRPr="00611EA5">
        <w:rPr>
          <w:rFonts w:ascii="Arial" w:hAnsi="Arial" w:cs="Arial"/>
        </w:rPr>
        <w:t xml:space="preserve"> of male employees received a bonus payment.</w:t>
      </w:r>
      <w:r w:rsidR="00586297" w:rsidRPr="00611EA5">
        <w:rPr>
          <w:rFonts w:ascii="Arial" w:hAnsi="Arial" w:cs="Arial"/>
        </w:rPr>
        <w:t xml:space="preserve"> </w:t>
      </w:r>
      <w:r w:rsidR="00FD1084" w:rsidRPr="00611EA5">
        <w:rPr>
          <w:rFonts w:ascii="Arial" w:hAnsi="Arial" w:cs="Arial"/>
        </w:rPr>
        <w:t xml:space="preserve"> </w:t>
      </w:r>
      <w:r w:rsidR="00BF6126" w:rsidRPr="00611EA5">
        <w:rPr>
          <w:rFonts w:ascii="Arial" w:hAnsi="Arial" w:cs="Arial"/>
        </w:rPr>
        <w:t xml:space="preserve">We </w:t>
      </w:r>
      <w:r w:rsidR="00FD1084" w:rsidRPr="00611EA5">
        <w:rPr>
          <w:rFonts w:ascii="Arial" w:hAnsi="Arial" w:cs="Arial"/>
        </w:rPr>
        <w:t xml:space="preserve">will continue to monitor and review </w:t>
      </w:r>
      <w:r w:rsidR="00BF6126" w:rsidRPr="00611EA5">
        <w:rPr>
          <w:rFonts w:ascii="Arial" w:hAnsi="Arial" w:cs="Arial"/>
        </w:rPr>
        <w:t>bonus payments</w:t>
      </w:r>
      <w:r w:rsidR="00FD1084" w:rsidRPr="00611EA5">
        <w:rPr>
          <w:rFonts w:ascii="Arial" w:hAnsi="Arial" w:cs="Arial"/>
        </w:rPr>
        <w:t xml:space="preserve"> </w:t>
      </w:r>
      <w:r w:rsidR="00BF6126" w:rsidRPr="00611EA5">
        <w:rPr>
          <w:rFonts w:ascii="Arial" w:hAnsi="Arial" w:cs="Arial"/>
        </w:rPr>
        <w:t xml:space="preserve">to </w:t>
      </w:r>
      <w:r w:rsidR="00FC09A9" w:rsidRPr="00611EA5">
        <w:rPr>
          <w:rFonts w:ascii="Arial" w:hAnsi="Arial" w:cs="Arial"/>
        </w:rPr>
        <w:t>maintain</w:t>
      </w:r>
      <w:r w:rsidR="00BF6126" w:rsidRPr="00611EA5">
        <w:rPr>
          <w:rFonts w:ascii="Arial" w:hAnsi="Arial" w:cs="Arial"/>
        </w:rPr>
        <w:t xml:space="preserve"> gender parity.   </w:t>
      </w: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580"/>
        <w:gridCol w:w="1600"/>
        <w:gridCol w:w="1600"/>
      </w:tblGrid>
      <w:tr w:rsidR="00E16DE6" w:rsidRPr="002B52C6" w14:paraId="65BDA40C" w14:textId="77777777" w:rsidTr="00E16DE6">
        <w:trPr>
          <w:trHeight w:val="375"/>
          <w:jc w:val="center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FCEB016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Mean Bonus Pay Gap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408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B46C9EE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Median Bonus Pay Gap</w:t>
            </w:r>
          </w:p>
        </w:tc>
      </w:tr>
      <w:tr w:rsidR="00E16DE6" w:rsidRPr="002B52C6" w14:paraId="6FD4F7E7" w14:textId="77777777" w:rsidTr="00E16DE6">
        <w:trPr>
          <w:trHeight w:val="4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527A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DE4C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EA7E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B84B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AE4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6DE6" w:rsidRPr="002B52C6" w14:paraId="2A4E3B81" w14:textId="77777777" w:rsidTr="00E16DE6">
        <w:trPr>
          <w:trHeight w:val="375"/>
          <w:jc w:val="center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8375945" w14:textId="68E8CE99" w:rsidR="00E16DE6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17.9%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8BC0" w14:textId="77777777" w:rsidR="00E16DE6" w:rsidRPr="00611EA5" w:rsidRDefault="00E16DE6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BC61CDD" w14:textId="7C5C10B0" w:rsidR="00E16DE6" w:rsidRPr="00052FDA" w:rsidRDefault="00052FDA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52FDA">
              <w:rPr>
                <w:rFonts w:ascii="Arial" w:eastAsia="Times New Roman" w:hAnsi="Arial" w:cs="Arial"/>
                <w:lang w:eastAsia="en-GB"/>
              </w:rPr>
              <w:t>-</w:t>
            </w:r>
            <w:r w:rsidR="00F208D4" w:rsidRPr="00052FDA">
              <w:rPr>
                <w:rFonts w:ascii="Arial" w:eastAsia="Times New Roman" w:hAnsi="Arial" w:cs="Arial"/>
                <w:lang w:eastAsia="en-GB"/>
              </w:rPr>
              <w:t>180.6%</w:t>
            </w:r>
          </w:p>
        </w:tc>
      </w:tr>
    </w:tbl>
    <w:p w14:paraId="378E77C2" w14:textId="77777777" w:rsidR="00813541" w:rsidRPr="00611EA5" w:rsidRDefault="00813541" w:rsidP="00611EA5">
      <w:pPr>
        <w:jc w:val="both"/>
        <w:rPr>
          <w:rFonts w:ascii="Arial" w:hAnsi="Arial" w:cs="Arial"/>
        </w:rPr>
      </w:pP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580"/>
        <w:gridCol w:w="1600"/>
        <w:gridCol w:w="1600"/>
      </w:tblGrid>
      <w:tr w:rsidR="00DD5F0D" w:rsidRPr="002B52C6" w14:paraId="591F0277" w14:textId="77777777" w:rsidTr="008B74F4">
        <w:trPr>
          <w:trHeight w:val="664"/>
          <w:jc w:val="center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bottom"/>
            <w:hideMark/>
          </w:tcPr>
          <w:p w14:paraId="6F951960" w14:textId="77777777" w:rsidR="00DD5F0D" w:rsidRPr="00611EA5" w:rsidRDefault="008B74F4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P</w:t>
            </w:r>
            <w:r w:rsidR="00DD5F0D" w:rsidRPr="00611EA5">
              <w:rPr>
                <w:rFonts w:ascii="Arial" w:eastAsia="Times New Roman" w:hAnsi="Arial" w:cs="Arial"/>
                <w:color w:val="FFFFFF"/>
                <w:lang w:eastAsia="en-GB"/>
              </w:rPr>
              <w:t>ercentage of women paid bonus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827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bottom"/>
            <w:hideMark/>
          </w:tcPr>
          <w:p w14:paraId="5B3D48CF" w14:textId="77777777" w:rsidR="00DD5F0D" w:rsidRPr="00611EA5" w:rsidRDefault="008B74F4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P</w:t>
            </w:r>
            <w:r w:rsidR="00DD5F0D" w:rsidRPr="00611EA5">
              <w:rPr>
                <w:rFonts w:ascii="Arial" w:eastAsia="Times New Roman" w:hAnsi="Arial" w:cs="Arial"/>
                <w:color w:val="FFFFFF"/>
                <w:lang w:eastAsia="en-GB"/>
              </w:rPr>
              <w:t>ercentage of men paid bonus</w:t>
            </w:r>
          </w:p>
        </w:tc>
      </w:tr>
      <w:tr w:rsidR="00DD5F0D" w:rsidRPr="002B52C6" w14:paraId="61D30ECC" w14:textId="77777777" w:rsidTr="008B74F4">
        <w:trPr>
          <w:trHeight w:val="66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8432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3A65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26D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C25B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FF8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D5F0D" w:rsidRPr="002B52C6" w14:paraId="5AC5364E" w14:textId="77777777" w:rsidTr="00DD5F0D">
        <w:trPr>
          <w:trHeight w:val="375"/>
          <w:jc w:val="center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8EBA2EA" w14:textId="3A99A679" w:rsidR="00DD5F0D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23.4%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00D" w14:textId="77777777" w:rsidR="00DD5F0D" w:rsidRPr="00611EA5" w:rsidRDefault="00DD5F0D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00FBB5" w14:textId="339438B7" w:rsidR="00DD5F0D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14.9%</w:t>
            </w:r>
          </w:p>
        </w:tc>
      </w:tr>
    </w:tbl>
    <w:p w14:paraId="18C91359" w14:textId="77777777" w:rsidR="00294495" w:rsidRPr="00611EA5" w:rsidRDefault="00294495" w:rsidP="00611EA5">
      <w:pPr>
        <w:jc w:val="both"/>
        <w:rPr>
          <w:rFonts w:ascii="Arial" w:hAnsi="Arial" w:cs="Arial"/>
        </w:rPr>
      </w:pPr>
    </w:p>
    <w:p w14:paraId="27E5605A" w14:textId="695DE093" w:rsidR="007F01E9" w:rsidRPr="00611EA5" w:rsidRDefault="0069296D">
      <w:pPr>
        <w:jc w:val="both"/>
        <w:rPr>
          <w:rFonts w:ascii="Arial" w:hAnsi="Arial" w:cs="Arial"/>
        </w:rPr>
      </w:pPr>
      <w:r w:rsidRPr="00611EA5">
        <w:rPr>
          <w:rFonts w:ascii="Arial" w:hAnsi="Arial" w:cs="Arial"/>
        </w:rPr>
        <w:lastRenderedPageBreak/>
        <w:t>A</w:t>
      </w:r>
      <w:r w:rsidR="006E2DCF" w:rsidRPr="00611EA5">
        <w:rPr>
          <w:rFonts w:ascii="Arial" w:hAnsi="Arial" w:cs="Arial"/>
        </w:rPr>
        <w:t xml:space="preserve">nalysis of gender pay shows that </w:t>
      </w:r>
      <w:r w:rsidR="00B46535" w:rsidRPr="00611EA5">
        <w:rPr>
          <w:rFonts w:ascii="Arial" w:hAnsi="Arial" w:cs="Arial"/>
        </w:rPr>
        <w:t>28</w:t>
      </w:r>
      <w:r w:rsidR="006E2DCF" w:rsidRPr="00611EA5">
        <w:rPr>
          <w:rFonts w:ascii="Arial" w:hAnsi="Arial" w:cs="Arial"/>
        </w:rPr>
        <w:t xml:space="preserve">% of our </w:t>
      </w:r>
      <w:r w:rsidR="00AC1E04">
        <w:rPr>
          <w:rFonts w:ascii="Arial" w:hAnsi="Arial" w:cs="Arial"/>
        </w:rPr>
        <w:t>‘</w:t>
      </w:r>
      <w:r w:rsidR="006E2DCF" w:rsidRPr="00611EA5">
        <w:rPr>
          <w:rFonts w:ascii="Arial" w:hAnsi="Arial" w:cs="Arial"/>
        </w:rPr>
        <w:t>upper quartile</w:t>
      </w:r>
      <w:r w:rsidR="00AC1E04">
        <w:rPr>
          <w:rFonts w:ascii="Arial" w:hAnsi="Arial" w:cs="Arial"/>
        </w:rPr>
        <w:t>’</w:t>
      </w:r>
      <w:r w:rsidR="006E2DCF" w:rsidRPr="00611EA5">
        <w:rPr>
          <w:rFonts w:ascii="Arial" w:hAnsi="Arial" w:cs="Arial"/>
        </w:rPr>
        <w:t xml:space="preserve"> </w:t>
      </w:r>
      <w:r w:rsidR="00774210">
        <w:rPr>
          <w:rFonts w:ascii="Arial" w:hAnsi="Arial" w:cs="Arial"/>
        </w:rPr>
        <w:t xml:space="preserve">(this is a decrease of 5% when compared to 2021) </w:t>
      </w:r>
      <w:r w:rsidR="00F30521" w:rsidRPr="00611EA5">
        <w:rPr>
          <w:rFonts w:ascii="Arial" w:hAnsi="Arial" w:cs="Arial"/>
        </w:rPr>
        <w:t xml:space="preserve">and </w:t>
      </w:r>
      <w:r w:rsidR="00B46535" w:rsidRPr="00611EA5">
        <w:rPr>
          <w:rFonts w:ascii="Arial" w:hAnsi="Arial" w:cs="Arial"/>
        </w:rPr>
        <w:t>38</w:t>
      </w:r>
      <w:r w:rsidR="00F30521" w:rsidRPr="00611EA5">
        <w:rPr>
          <w:rFonts w:ascii="Arial" w:hAnsi="Arial" w:cs="Arial"/>
        </w:rPr>
        <w:t>%</w:t>
      </w:r>
      <w:r w:rsidR="00774210">
        <w:rPr>
          <w:rFonts w:ascii="Arial" w:hAnsi="Arial" w:cs="Arial"/>
        </w:rPr>
        <w:t xml:space="preserve"> (this is an increase of 12% when compared to 2021)</w:t>
      </w:r>
      <w:r w:rsidR="00F30521" w:rsidRPr="00611EA5">
        <w:rPr>
          <w:rFonts w:ascii="Arial" w:hAnsi="Arial" w:cs="Arial"/>
        </w:rPr>
        <w:t xml:space="preserve"> of our</w:t>
      </w:r>
      <w:r w:rsidR="00D92E72" w:rsidRPr="00611EA5">
        <w:rPr>
          <w:rFonts w:ascii="Arial" w:hAnsi="Arial" w:cs="Arial"/>
        </w:rPr>
        <w:t xml:space="preserve"> </w:t>
      </w:r>
      <w:r w:rsidR="00AC1E04">
        <w:rPr>
          <w:rFonts w:ascii="Arial" w:hAnsi="Arial" w:cs="Arial"/>
        </w:rPr>
        <w:t>‘</w:t>
      </w:r>
      <w:r w:rsidR="00D92E72" w:rsidRPr="00611EA5">
        <w:rPr>
          <w:rFonts w:ascii="Arial" w:hAnsi="Arial" w:cs="Arial"/>
        </w:rPr>
        <w:t>upper</w:t>
      </w:r>
      <w:r w:rsidR="00F30521" w:rsidRPr="00611EA5">
        <w:rPr>
          <w:rFonts w:ascii="Arial" w:hAnsi="Arial" w:cs="Arial"/>
        </w:rPr>
        <w:t xml:space="preserve"> middle quartile</w:t>
      </w:r>
      <w:r w:rsidR="00AC1E04">
        <w:rPr>
          <w:rFonts w:ascii="Arial" w:hAnsi="Arial" w:cs="Arial"/>
        </w:rPr>
        <w:t>’</w:t>
      </w:r>
      <w:r w:rsidR="00F30521" w:rsidRPr="00611EA5">
        <w:rPr>
          <w:rFonts w:ascii="Arial" w:hAnsi="Arial" w:cs="Arial"/>
        </w:rPr>
        <w:t xml:space="preserve"> are women</w:t>
      </w:r>
      <w:r w:rsidR="00B46535" w:rsidRPr="00611EA5">
        <w:rPr>
          <w:rFonts w:ascii="Arial" w:hAnsi="Arial" w:cs="Arial"/>
        </w:rPr>
        <w:t xml:space="preserve">.  </w:t>
      </w:r>
      <w:r w:rsidR="004775ED" w:rsidRPr="00611EA5">
        <w:rPr>
          <w:rFonts w:ascii="Arial" w:hAnsi="Arial" w:cs="Arial"/>
        </w:rPr>
        <w:t xml:space="preserve">Females occupy 40% of roles within our </w:t>
      </w:r>
      <w:r w:rsidR="00B46535" w:rsidRPr="00611EA5">
        <w:rPr>
          <w:rFonts w:ascii="Arial" w:hAnsi="Arial" w:cs="Arial"/>
        </w:rPr>
        <w:t>Senior Leadership Team (Head of Department or above)</w:t>
      </w:r>
      <w:r w:rsidR="004775ED" w:rsidRPr="00611EA5">
        <w:rPr>
          <w:rFonts w:ascii="Arial" w:hAnsi="Arial" w:cs="Arial"/>
        </w:rPr>
        <w:t xml:space="preserve"> with </w:t>
      </w:r>
      <w:r w:rsidR="00B46535" w:rsidRPr="00611EA5">
        <w:rPr>
          <w:rFonts w:ascii="Arial" w:hAnsi="Arial" w:cs="Arial"/>
        </w:rPr>
        <w:t xml:space="preserve">50% of </w:t>
      </w:r>
      <w:r w:rsidR="004775ED" w:rsidRPr="00611EA5">
        <w:rPr>
          <w:rFonts w:ascii="Arial" w:hAnsi="Arial" w:cs="Arial"/>
        </w:rPr>
        <w:t xml:space="preserve">females occupying </w:t>
      </w:r>
      <w:r w:rsidR="00B46535" w:rsidRPr="00611EA5">
        <w:rPr>
          <w:rFonts w:ascii="Arial" w:hAnsi="Arial" w:cs="Arial"/>
        </w:rPr>
        <w:t xml:space="preserve">Executive roles (Director positions).  </w:t>
      </w:r>
      <w:r w:rsidR="007F01E9" w:rsidRPr="00611EA5">
        <w:rPr>
          <w:rFonts w:ascii="Arial" w:hAnsi="Arial" w:cs="Arial"/>
        </w:rPr>
        <w:t xml:space="preserve">This demonstrates our ongoing commitment to recruitment, training and development opportunities and promotion for females into </w:t>
      </w:r>
      <w:r w:rsidR="004775ED" w:rsidRPr="00611EA5">
        <w:rPr>
          <w:rFonts w:ascii="Arial" w:hAnsi="Arial" w:cs="Arial"/>
        </w:rPr>
        <w:t xml:space="preserve">senior </w:t>
      </w:r>
      <w:r w:rsidR="007F01E9" w:rsidRPr="00611EA5">
        <w:rPr>
          <w:rFonts w:ascii="Arial" w:hAnsi="Arial" w:cs="Arial"/>
        </w:rPr>
        <w:t>management</w:t>
      </w:r>
      <w:r w:rsidR="004775ED" w:rsidRPr="00611EA5">
        <w:rPr>
          <w:rFonts w:ascii="Arial" w:hAnsi="Arial" w:cs="Arial"/>
        </w:rPr>
        <w:t>/leadership</w:t>
      </w:r>
      <w:r w:rsidR="007F01E9" w:rsidRPr="00611EA5">
        <w:rPr>
          <w:rFonts w:ascii="Arial" w:hAnsi="Arial" w:cs="Arial"/>
        </w:rPr>
        <w:t xml:space="preserve"> roles. </w:t>
      </w:r>
      <w:r w:rsidR="00AC1E04">
        <w:rPr>
          <w:rFonts w:ascii="Arial" w:hAnsi="Arial" w:cs="Arial"/>
        </w:rPr>
        <w:t xml:space="preserve"> The data shows that there has been a decrease in females </w:t>
      </w:r>
      <w:r w:rsidR="00774210">
        <w:rPr>
          <w:rFonts w:ascii="Arial" w:hAnsi="Arial" w:cs="Arial"/>
        </w:rPr>
        <w:t xml:space="preserve">in </w:t>
      </w:r>
      <w:r w:rsidR="00AC1E04">
        <w:rPr>
          <w:rFonts w:ascii="Arial" w:hAnsi="Arial" w:cs="Arial"/>
        </w:rPr>
        <w:t>the ‘lower middle quartile’ (-3%) and ‘lower quartile’ (-6%) these being roles that are held by majority of our workforce.</w:t>
      </w:r>
    </w:p>
    <w:p w14:paraId="5F1DBD91" w14:textId="77777777" w:rsidR="006E2DCF" w:rsidRPr="00611EA5" w:rsidRDefault="006E2DCF" w:rsidP="00611EA5">
      <w:pPr>
        <w:jc w:val="both"/>
        <w:rPr>
          <w:rFonts w:ascii="Arial" w:hAnsi="Arial" w:cs="Arial"/>
          <w:i/>
        </w:rPr>
      </w:pPr>
    </w:p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40"/>
        <w:gridCol w:w="222"/>
        <w:gridCol w:w="1040"/>
      </w:tblGrid>
      <w:tr w:rsidR="00813541" w:rsidRPr="002B52C6" w14:paraId="1C1A1758" w14:textId="77777777" w:rsidTr="00813541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3E3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17A2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639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156306A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Women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25D3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05940F42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FFFFFF"/>
                <w:lang w:eastAsia="en-GB"/>
              </w:rPr>
              <w:t>Men</w:t>
            </w:r>
          </w:p>
        </w:tc>
      </w:tr>
      <w:tr w:rsidR="00813541" w:rsidRPr="002B52C6" w14:paraId="5C1B6D96" w14:textId="77777777" w:rsidTr="00813541">
        <w:trPr>
          <w:trHeight w:val="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3F92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B25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2BD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36DE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C661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4803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3541" w:rsidRPr="002B52C6" w14:paraId="4337445A" w14:textId="77777777" w:rsidTr="00813541">
        <w:trPr>
          <w:trHeight w:val="37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CCF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000000"/>
                <w:lang w:eastAsia="en-GB"/>
              </w:rPr>
              <w:t>Upper Quartile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8875" w14:textId="5DACA52C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B03C060" w14:textId="48847C0A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28%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4D7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D446082" w14:textId="5375EC21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72%</w:t>
            </w:r>
          </w:p>
        </w:tc>
      </w:tr>
      <w:tr w:rsidR="00813541" w:rsidRPr="002B52C6" w14:paraId="73EA5344" w14:textId="77777777" w:rsidTr="00813541">
        <w:trPr>
          <w:trHeight w:val="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48A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05CA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E030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80E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A07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953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3541" w:rsidRPr="002B52C6" w14:paraId="1004F4AA" w14:textId="77777777" w:rsidTr="00813541">
        <w:trPr>
          <w:trHeight w:val="375"/>
          <w:jc w:val="center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47CB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000000"/>
                <w:lang w:eastAsia="en-GB"/>
              </w:rPr>
              <w:t>Upper Middle Quartile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942CC2" w14:textId="40D99334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38%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B9C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ACB769" w14:textId="2FC48C09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62%</w:t>
            </w:r>
          </w:p>
        </w:tc>
      </w:tr>
      <w:tr w:rsidR="00813541" w:rsidRPr="002B52C6" w14:paraId="460BA18D" w14:textId="77777777" w:rsidTr="00813541">
        <w:trPr>
          <w:trHeight w:val="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61B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0F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3E1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F1A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369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A41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3541" w:rsidRPr="002B52C6" w14:paraId="1BD2763E" w14:textId="77777777" w:rsidTr="00813541">
        <w:trPr>
          <w:trHeight w:val="375"/>
          <w:jc w:val="center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7211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000000"/>
                <w:lang w:eastAsia="en-GB"/>
              </w:rPr>
              <w:t>Lower Middle Quartile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4C1D9D5" w14:textId="1AB31FC5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8A30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D9803B2" w14:textId="15AEC929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79%</w:t>
            </w:r>
          </w:p>
        </w:tc>
      </w:tr>
      <w:tr w:rsidR="00813541" w:rsidRPr="002B52C6" w14:paraId="70291BDA" w14:textId="77777777" w:rsidTr="00813541">
        <w:trPr>
          <w:trHeight w:val="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34D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573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CF3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69C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D837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A301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3541" w:rsidRPr="002B52C6" w14:paraId="480EDB85" w14:textId="77777777" w:rsidTr="00813541">
        <w:trPr>
          <w:trHeight w:val="37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6C3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EA5">
              <w:rPr>
                <w:rFonts w:ascii="Arial" w:eastAsia="Times New Roman" w:hAnsi="Arial" w:cs="Arial"/>
                <w:color w:val="00000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4EAF" w14:textId="77777777" w:rsidR="00813541" w:rsidRPr="00611EA5" w:rsidRDefault="00813541" w:rsidP="00611E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2C758C" w14:textId="44737962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19%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843B" w14:textId="77777777" w:rsidR="00813541" w:rsidRPr="00611EA5" w:rsidRDefault="00813541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92B9563" w14:textId="7D295EDF" w:rsidR="00813541" w:rsidRPr="00611EA5" w:rsidRDefault="00F208D4" w:rsidP="00753B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81%</w:t>
            </w:r>
          </w:p>
        </w:tc>
      </w:tr>
    </w:tbl>
    <w:p w14:paraId="7D084E03" w14:textId="77777777" w:rsidR="006E2DCF" w:rsidRPr="00611EA5" w:rsidRDefault="006E2DCF" w:rsidP="00611EA5">
      <w:pPr>
        <w:jc w:val="both"/>
        <w:rPr>
          <w:rFonts w:ascii="Arial" w:hAnsi="Arial" w:cs="Arial"/>
          <w:i/>
        </w:rPr>
      </w:pPr>
    </w:p>
    <w:p w14:paraId="085ECCA6" w14:textId="611778C8" w:rsidR="00B63862" w:rsidRPr="00611EA5" w:rsidRDefault="00691D96" w:rsidP="00611E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Notwithstanding the progress we have made, w</w:t>
      </w:r>
      <w:r w:rsidR="00F30521" w:rsidRPr="00611EA5">
        <w:rPr>
          <w:rFonts w:ascii="Arial" w:hAnsi="Arial" w:cs="Arial"/>
        </w:rPr>
        <w:t xml:space="preserve">e </w:t>
      </w:r>
      <w:r w:rsidR="007F01E9">
        <w:rPr>
          <w:rFonts w:ascii="Arial" w:hAnsi="Arial" w:cs="Arial"/>
        </w:rPr>
        <w:t xml:space="preserve">are not </w:t>
      </w:r>
      <w:r w:rsidR="00E06F3F">
        <w:rPr>
          <w:rFonts w:ascii="Arial" w:hAnsi="Arial" w:cs="Arial"/>
        </w:rPr>
        <w:t>complacent,</w:t>
      </w:r>
      <w:r w:rsidR="007F01E9">
        <w:rPr>
          <w:rFonts w:ascii="Arial" w:hAnsi="Arial" w:cs="Arial"/>
        </w:rPr>
        <w:t xml:space="preserve"> and we continue to review our recruitment methodologies and people policies and practices to ensure that we</w:t>
      </w:r>
      <w:r w:rsidR="00E06F3F">
        <w:rPr>
          <w:rFonts w:ascii="Arial" w:hAnsi="Arial" w:cs="Arial"/>
        </w:rPr>
        <w:t xml:space="preserve"> attract, </w:t>
      </w:r>
      <w:proofErr w:type="gramStart"/>
      <w:r w:rsidR="00E06F3F">
        <w:rPr>
          <w:rFonts w:ascii="Arial" w:hAnsi="Arial" w:cs="Arial"/>
        </w:rPr>
        <w:t>retain</w:t>
      </w:r>
      <w:proofErr w:type="gramEnd"/>
      <w:r w:rsidR="00E06F3F">
        <w:rPr>
          <w:rFonts w:ascii="Arial" w:hAnsi="Arial" w:cs="Arial"/>
        </w:rPr>
        <w:t xml:space="preserve"> and develop the best talent.  There continue</w:t>
      </w:r>
      <w:r w:rsidR="00497979">
        <w:rPr>
          <w:rFonts w:ascii="Arial" w:hAnsi="Arial" w:cs="Arial"/>
        </w:rPr>
        <w:t>s</w:t>
      </w:r>
      <w:r w:rsidR="00E06F3F">
        <w:rPr>
          <w:rFonts w:ascii="Arial" w:hAnsi="Arial" w:cs="Arial"/>
        </w:rPr>
        <w:t xml:space="preserve"> to be certain occupations where females are underrepresented at a national level</w:t>
      </w:r>
      <w:r w:rsidR="00497979">
        <w:rPr>
          <w:rFonts w:ascii="Arial" w:hAnsi="Arial" w:cs="Arial"/>
        </w:rPr>
        <w:t xml:space="preserve">. We will continue to seek opportunities to improve recruitment in these by ensuring that </w:t>
      </w:r>
      <w:r w:rsidR="00B63862" w:rsidRPr="00611EA5">
        <w:rPr>
          <w:rFonts w:ascii="Arial" w:hAnsi="Arial" w:cs="Arial"/>
        </w:rPr>
        <w:t>flexible working is well supported and promoted</w:t>
      </w:r>
      <w:r w:rsidR="00497979">
        <w:rPr>
          <w:rFonts w:ascii="Arial" w:hAnsi="Arial" w:cs="Arial"/>
        </w:rPr>
        <w:t xml:space="preserve"> to meet lifestyle and career needs</w:t>
      </w:r>
      <w:r w:rsidR="00B63862" w:rsidRPr="00611EA5">
        <w:rPr>
          <w:rFonts w:ascii="Arial" w:hAnsi="Arial" w:cs="Arial"/>
        </w:rPr>
        <w:t xml:space="preserve">.  </w:t>
      </w:r>
    </w:p>
    <w:p w14:paraId="60E1F499" w14:textId="0BBB8376" w:rsidR="00B63862" w:rsidRPr="00611EA5" w:rsidRDefault="00497979" w:rsidP="00611E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will continue to invest in our learning and talent </w:t>
      </w:r>
      <w:r w:rsidR="00611EA5">
        <w:rPr>
          <w:rFonts w:ascii="Arial" w:hAnsi="Arial" w:cs="Arial"/>
        </w:rPr>
        <w:t>initiatives,</w:t>
      </w:r>
      <w:r>
        <w:rPr>
          <w:rFonts w:ascii="Arial" w:hAnsi="Arial" w:cs="Arial"/>
        </w:rPr>
        <w:t xml:space="preserve"> and this will remain </w:t>
      </w:r>
      <w:r w:rsidR="00611EA5">
        <w:rPr>
          <w:rFonts w:ascii="Arial" w:hAnsi="Arial" w:cs="Arial"/>
        </w:rPr>
        <w:t xml:space="preserve">an </w:t>
      </w:r>
      <w:r w:rsidR="00611EA5" w:rsidRPr="00611EA5">
        <w:rPr>
          <w:rFonts w:ascii="Arial" w:hAnsi="Arial" w:cs="Arial"/>
        </w:rPr>
        <w:t>important</w:t>
      </w:r>
      <w:r w:rsidR="00B63862" w:rsidRPr="00611EA5">
        <w:rPr>
          <w:rFonts w:ascii="Arial" w:hAnsi="Arial" w:cs="Arial"/>
        </w:rPr>
        <w:t xml:space="preserve"> feature o</w:t>
      </w:r>
      <w:r w:rsidR="007B2738" w:rsidRPr="00611EA5">
        <w:rPr>
          <w:rFonts w:ascii="Arial" w:hAnsi="Arial" w:cs="Arial"/>
        </w:rPr>
        <w:t>f</w:t>
      </w:r>
      <w:r w:rsidR="00B63862" w:rsidRPr="00611EA5">
        <w:rPr>
          <w:rFonts w:ascii="Arial" w:hAnsi="Arial" w:cs="Arial"/>
        </w:rPr>
        <w:t xml:space="preserve"> our people management strategy for the future</w:t>
      </w:r>
      <w:r>
        <w:rPr>
          <w:rFonts w:ascii="Arial" w:hAnsi="Arial" w:cs="Arial"/>
        </w:rPr>
        <w:t>.</w:t>
      </w:r>
    </w:p>
    <w:p w14:paraId="7B278B5D" w14:textId="7867AB92" w:rsidR="00F30521" w:rsidRPr="00611EA5" w:rsidRDefault="00F30521" w:rsidP="00611EA5">
      <w:pPr>
        <w:jc w:val="both"/>
        <w:rPr>
          <w:rFonts w:ascii="Arial" w:hAnsi="Arial" w:cs="Arial"/>
        </w:rPr>
      </w:pPr>
    </w:p>
    <w:p w14:paraId="4978AEEC" w14:textId="3833D829" w:rsidR="008635B3" w:rsidRPr="00611EA5" w:rsidRDefault="008635B3" w:rsidP="00611EA5">
      <w:pPr>
        <w:jc w:val="both"/>
        <w:rPr>
          <w:rFonts w:ascii="Arial" w:hAnsi="Arial" w:cs="Arial"/>
        </w:rPr>
      </w:pPr>
      <w:r w:rsidRPr="002B52C6">
        <w:rPr>
          <w:rFonts w:ascii="Arial" w:eastAsia="Times New Roman" w:hAnsi="Arial" w:cs="Arial"/>
          <w:lang w:eastAsia="en-GB"/>
        </w:rPr>
        <w:t xml:space="preserve">This statement was reviewed March 2023 and was approved by the CEO Jonathan Smith and HR Director, Corina Forman on </w:t>
      </w:r>
      <w:r w:rsidRPr="00611EA5">
        <w:rPr>
          <w:rFonts w:ascii="Arial" w:eastAsia="Times New Roman" w:hAnsi="Arial" w:cs="Arial"/>
          <w:highlight w:val="yellow"/>
          <w:lang w:eastAsia="en-GB"/>
        </w:rPr>
        <w:t>[date].</w:t>
      </w:r>
      <w:r w:rsidRPr="002B52C6">
        <w:rPr>
          <w:rFonts w:ascii="Arial" w:eastAsia="Times New Roman" w:hAnsi="Arial" w:cs="Arial"/>
          <w:lang w:eastAsia="en-GB"/>
        </w:rPr>
        <w:t xml:space="preserve">  Our gender pay gap report will be reviewed and updated annually. </w:t>
      </w:r>
    </w:p>
    <w:p w14:paraId="5CB9271C" w14:textId="77777777" w:rsidR="00537D0B" w:rsidRDefault="00537D0B" w:rsidP="006E2DCF"/>
    <w:p w14:paraId="0D09871C" w14:textId="77777777" w:rsidR="00F30521" w:rsidRDefault="00F30521" w:rsidP="006E2DCF"/>
    <w:p w14:paraId="72136EF7" w14:textId="77777777" w:rsidR="00F30521" w:rsidRDefault="00F30521" w:rsidP="006E2DCF"/>
    <w:p w14:paraId="228FE245" w14:textId="77777777" w:rsidR="00204EAF" w:rsidRPr="00734CF4" w:rsidRDefault="00204EAF">
      <w:pPr>
        <w:rPr>
          <w:sz w:val="34"/>
          <w:szCs w:val="34"/>
        </w:rPr>
      </w:pPr>
    </w:p>
    <w:sectPr w:rsidR="00204EAF" w:rsidRPr="00734CF4" w:rsidSect="006E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F212" w14:textId="77777777" w:rsidR="00943B85" w:rsidRDefault="00943B85" w:rsidP="000A5FB6">
      <w:pPr>
        <w:spacing w:after="0" w:line="240" w:lineRule="auto"/>
      </w:pPr>
      <w:r>
        <w:separator/>
      </w:r>
    </w:p>
  </w:endnote>
  <w:endnote w:type="continuationSeparator" w:id="0">
    <w:p w14:paraId="187312A2" w14:textId="77777777" w:rsidR="00943B85" w:rsidRDefault="00943B85" w:rsidP="000A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9892" w14:textId="77777777" w:rsidR="00585CC6" w:rsidRDefault="00585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A300" w14:textId="77777777" w:rsidR="00585CC6" w:rsidRDefault="00585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DDBB" w14:textId="77777777" w:rsidR="00585CC6" w:rsidRDefault="0058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6480" w14:textId="77777777" w:rsidR="00943B85" w:rsidRDefault="00943B85" w:rsidP="000A5FB6">
      <w:pPr>
        <w:spacing w:after="0" w:line="240" w:lineRule="auto"/>
      </w:pPr>
      <w:r>
        <w:separator/>
      </w:r>
    </w:p>
  </w:footnote>
  <w:footnote w:type="continuationSeparator" w:id="0">
    <w:p w14:paraId="65BB23EE" w14:textId="77777777" w:rsidR="00943B85" w:rsidRDefault="00943B85" w:rsidP="000A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EBC2" w14:textId="47ECCB57" w:rsidR="00585CC6" w:rsidRDefault="00585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4FB8" w14:textId="624197E1" w:rsidR="000A5FB6" w:rsidRDefault="000A5FB6" w:rsidP="000A5FB6">
    <w:pPr>
      <w:pStyle w:val="NoSpacing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8779BA5" wp14:editId="7F9AFD00">
          <wp:simplePos x="0" y="0"/>
          <wp:positionH relativeFrom="column">
            <wp:posOffset>5638800</wp:posOffset>
          </wp:positionH>
          <wp:positionV relativeFrom="paragraph">
            <wp:posOffset>-259080</wp:posOffset>
          </wp:positionV>
          <wp:extent cx="800100" cy="742950"/>
          <wp:effectExtent l="19050" t="0" r="0" b="0"/>
          <wp:wrapTight wrapText="left">
            <wp:wrapPolygon edited="0">
              <wp:start x="-514" y="0"/>
              <wp:lineTo x="-514" y="21046"/>
              <wp:lineTo x="21600" y="21046"/>
              <wp:lineTo x="21600" y="0"/>
              <wp:lineTo x="-514" y="0"/>
            </wp:wrapPolygon>
          </wp:wrapTight>
          <wp:docPr id="1" name="Picture 1" descr="apc (2co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c (2co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7761" w14:textId="220F81A1" w:rsidR="00585CC6" w:rsidRDefault="00585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590"/>
    <w:multiLevelType w:val="hybridMultilevel"/>
    <w:tmpl w:val="35A4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178"/>
    <w:multiLevelType w:val="hybridMultilevel"/>
    <w:tmpl w:val="18389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35C"/>
    <w:multiLevelType w:val="hybridMultilevel"/>
    <w:tmpl w:val="6356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54BB"/>
    <w:multiLevelType w:val="hybridMultilevel"/>
    <w:tmpl w:val="B068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50E0"/>
    <w:multiLevelType w:val="hybridMultilevel"/>
    <w:tmpl w:val="ED8E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F90"/>
    <w:multiLevelType w:val="hybridMultilevel"/>
    <w:tmpl w:val="A58C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0B48"/>
    <w:multiLevelType w:val="hybridMultilevel"/>
    <w:tmpl w:val="F616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7D8"/>
    <w:multiLevelType w:val="hybridMultilevel"/>
    <w:tmpl w:val="729A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35BA"/>
    <w:multiLevelType w:val="hybridMultilevel"/>
    <w:tmpl w:val="C5E4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74E8"/>
    <w:multiLevelType w:val="hybridMultilevel"/>
    <w:tmpl w:val="8E00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33DCA"/>
    <w:multiLevelType w:val="hybridMultilevel"/>
    <w:tmpl w:val="4E4E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53FDE"/>
    <w:multiLevelType w:val="hybridMultilevel"/>
    <w:tmpl w:val="B1BCE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E03A0"/>
    <w:multiLevelType w:val="hybridMultilevel"/>
    <w:tmpl w:val="7C78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0E87"/>
    <w:multiLevelType w:val="hybridMultilevel"/>
    <w:tmpl w:val="1E58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66633">
    <w:abstractNumId w:val="3"/>
  </w:num>
  <w:num w:numId="2" w16cid:durableId="971986611">
    <w:abstractNumId w:val="11"/>
  </w:num>
  <w:num w:numId="3" w16cid:durableId="1255436191">
    <w:abstractNumId w:val="12"/>
  </w:num>
  <w:num w:numId="4" w16cid:durableId="565148214">
    <w:abstractNumId w:val="13"/>
  </w:num>
  <w:num w:numId="5" w16cid:durableId="1776516010">
    <w:abstractNumId w:val="6"/>
  </w:num>
  <w:num w:numId="6" w16cid:durableId="1055785481">
    <w:abstractNumId w:val="5"/>
  </w:num>
  <w:num w:numId="7" w16cid:durableId="844900598">
    <w:abstractNumId w:val="2"/>
  </w:num>
  <w:num w:numId="8" w16cid:durableId="508907348">
    <w:abstractNumId w:val="9"/>
  </w:num>
  <w:num w:numId="9" w16cid:durableId="1360160441">
    <w:abstractNumId w:val="0"/>
  </w:num>
  <w:num w:numId="10" w16cid:durableId="1179202273">
    <w:abstractNumId w:val="10"/>
  </w:num>
  <w:num w:numId="11" w16cid:durableId="1764451214">
    <w:abstractNumId w:val="4"/>
  </w:num>
  <w:num w:numId="12" w16cid:durableId="1005664954">
    <w:abstractNumId w:val="1"/>
  </w:num>
  <w:num w:numId="13" w16cid:durableId="905336481">
    <w:abstractNumId w:val="8"/>
  </w:num>
  <w:num w:numId="14" w16cid:durableId="198759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CE"/>
    <w:rsid w:val="00003ABB"/>
    <w:rsid w:val="00041F2F"/>
    <w:rsid w:val="00052FDA"/>
    <w:rsid w:val="000676A9"/>
    <w:rsid w:val="000908D9"/>
    <w:rsid w:val="000A5FB6"/>
    <w:rsid w:val="000E0918"/>
    <w:rsid w:val="000E1445"/>
    <w:rsid w:val="000E20FC"/>
    <w:rsid w:val="00111FC0"/>
    <w:rsid w:val="00112D8F"/>
    <w:rsid w:val="00114EFD"/>
    <w:rsid w:val="00147E96"/>
    <w:rsid w:val="001569BE"/>
    <w:rsid w:val="00164096"/>
    <w:rsid w:val="00181799"/>
    <w:rsid w:val="00181EC4"/>
    <w:rsid w:val="001824D1"/>
    <w:rsid w:val="001852AA"/>
    <w:rsid w:val="001A1112"/>
    <w:rsid w:val="001A17A4"/>
    <w:rsid w:val="001C224B"/>
    <w:rsid w:val="001C6DA8"/>
    <w:rsid w:val="001D1612"/>
    <w:rsid w:val="001F4CBB"/>
    <w:rsid w:val="00204EAF"/>
    <w:rsid w:val="00215766"/>
    <w:rsid w:val="00234CAE"/>
    <w:rsid w:val="00290079"/>
    <w:rsid w:val="00294495"/>
    <w:rsid w:val="002A357D"/>
    <w:rsid w:val="002A752F"/>
    <w:rsid w:val="002A7914"/>
    <w:rsid w:val="002B52C6"/>
    <w:rsid w:val="002D5B6A"/>
    <w:rsid w:val="002E63BB"/>
    <w:rsid w:val="002F7AD2"/>
    <w:rsid w:val="00301C07"/>
    <w:rsid w:val="00306557"/>
    <w:rsid w:val="00306BD0"/>
    <w:rsid w:val="003248B6"/>
    <w:rsid w:val="00333538"/>
    <w:rsid w:val="003339F5"/>
    <w:rsid w:val="003424AA"/>
    <w:rsid w:val="003505EF"/>
    <w:rsid w:val="0036547A"/>
    <w:rsid w:val="00371337"/>
    <w:rsid w:val="003726A8"/>
    <w:rsid w:val="003C6560"/>
    <w:rsid w:val="003F1F64"/>
    <w:rsid w:val="003F7DF7"/>
    <w:rsid w:val="00411FA0"/>
    <w:rsid w:val="00432C9B"/>
    <w:rsid w:val="00454868"/>
    <w:rsid w:val="00466B4B"/>
    <w:rsid w:val="00473FBF"/>
    <w:rsid w:val="004775ED"/>
    <w:rsid w:val="00497979"/>
    <w:rsid w:val="004A4B92"/>
    <w:rsid w:val="004A5837"/>
    <w:rsid w:val="004A6B81"/>
    <w:rsid w:val="004C044D"/>
    <w:rsid w:val="004C1A75"/>
    <w:rsid w:val="004C4EF2"/>
    <w:rsid w:val="004D0ADD"/>
    <w:rsid w:val="004D452C"/>
    <w:rsid w:val="004E10E8"/>
    <w:rsid w:val="004E4E04"/>
    <w:rsid w:val="004F7BD2"/>
    <w:rsid w:val="0050265E"/>
    <w:rsid w:val="005075C7"/>
    <w:rsid w:val="00514015"/>
    <w:rsid w:val="00537D0B"/>
    <w:rsid w:val="00541340"/>
    <w:rsid w:val="00585CC6"/>
    <w:rsid w:val="00586297"/>
    <w:rsid w:val="005B3C0E"/>
    <w:rsid w:val="005C049B"/>
    <w:rsid w:val="005D3387"/>
    <w:rsid w:val="006119B3"/>
    <w:rsid w:val="00611EA5"/>
    <w:rsid w:val="00620AA3"/>
    <w:rsid w:val="0064115F"/>
    <w:rsid w:val="0064357C"/>
    <w:rsid w:val="00643D6A"/>
    <w:rsid w:val="00691D96"/>
    <w:rsid w:val="0069296D"/>
    <w:rsid w:val="006C40C8"/>
    <w:rsid w:val="006E2DCF"/>
    <w:rsid w:val="006F0979"/>
    <w:rsid w:val="006F1A2B"/>
    <w:rsid w:val="007262D6"/>
    <w:rsid w:val="00733268"/>
    <w:rsid w:val="0073390E"/>
    <w:rsid w:val="00734CF4"/>
    <w:rsid w:val="00753BC3"/>
    <w:rsid w:val="0077205F"/>
    <w:rsid w:val="00774210"/>
    <w:rsid w:val="0077476A"/>
    <w:rsid w:val="00795BFB"/>
    <w:rsid w:val="007A1FAA"/>
    <w:rsid w:val="007B2738"/>
    <w:rsid w:val="007C2C34"/>
    <w:rsid w:val="007E0612"/>
    <w:rsid w:val="007F01E9"/>
    <w:rsid w:val="00800F2C"/>
    <w:rsid w:val="0080191C"/>
    <w:rsid w:val="00813541"/>
    <w:rsid w:val="0082634D"/>
    <w:rsid w:val="00841027"/>
    <w:rsid w:val="00846DA8"/>
    <w:rsid w:val="008516CE"/>
    <w:rsid w:val="008635B3"/>
    <w:rsid w:val="00874DEA"/>
    <w:rsid w:val="0088240F"/>
    <w:rsid w:val="00893BD9"/>
    <w:rsid w:val="00897559"/>
    <w:rsid w:val="008B74F4"/>
    <w:rsid w:val="008C24C8"/>
    <w:rsid w:val="008D0F38"/>
    <w:rsid w:val="008F6C4C"/>
    <w:rsid w:val="00941643"/>
    <w:rsid w:val="00943B85"/>
    <w:rsid w:val="009462F7"/>
    <w:rsid w:val="009557F6"/>
    <w:rsid w:val="00956CBE"/>
    <w:rsid w:val="00965EAC"/>
    <w:rsid w:val="009B1A89"/>
    <w:rsid w:val="009C0D11"/>
    <w:rsid w:val="009C309B"/>
    <w:rsid w:val="009C667A"/>
    <w:rsid w:val="009D0E8E"/>
    <w:rsid w:val="009F00C4"/>
    <w:rsid w:val="009F52F7"/>
    <w:rsid w:val="009F75FB"/>
    <w:rsid w:val="00A0658C"/>
    <w:rsid w:val="00A06C47"/>
    <w:rsid w:val="00A17F90"/>
    <w:rsid w:val="00A20725"/>
    <w:rsid w:val="00A5077C"/>
    <w:rsid w:val="00A56C52"/>
    <w:rsid w:val="00A7191E"/>
    <w:rsid w:val="00AC1E04"/>
    <w:rsid w:val="00AC302E"/>
    <w:rsid w:val="00AE33CE"/>
    <w:rsid w:val="00AF0A46"/>
    <w:rsid w:val="00B1422B"/>
    <w:rsid w:val="00B46535"/>
    <w:rsid w:val="00B51596"/>
    <w:rsid w:val="00B63862"/>
    <w:rsid w:val="00B700F7"/>
    <w:rsid w:val="00B75852"/>
    <w:rsid w:val="00B8008D"/>
    <w:rsid w:val="00B873C9"/>
    <w:rsid w:val="00BA72CE"/>
    <w:rsid w:val="00BB10AD"/>
    <w:rsid w:val="00BB6AE4"/>
    <w:rsid w:val="00BF405E"/>
    <w:rsid w:val="00BF6126"/>
    <w:rsid w:val="00C11D06"/>
    <w:rsid w:val="00C17A1B"/>
    <w:rsid w:val="00C215A4"/>
    <w:rsid w:val="00C46A3C"/>
    <w:rsid w:val="00C513FC"/>
    <w:rsid w:val="00C52DE7"/>
    <w:rsid w:val="00CB4144"/>
    <w:rsid w:val="00CE2B42"/>
    <w:rsid w:val="00CE404E"/>
    <w:rsid w:val="00CF1416"/>
    <w:rsid w:val="00D03DAC"/>
    <w:rsid w:val="00D31DB6"/>
    <w:rsid w:val="00D34803"/>
    <w:rsid w:val="00D358FD"/>
    <w:rsid w:val="00D75E51"/>
    <w:rsid w:val="00D83A2B"/>
    <w:rsid w:val="00D92E72"/>
    <w:rsid w:val="00DA0EB4"/>
    <w:rsid w:val="00DA5081"/>
    <w:rsid w:val="00DA737C"/>
    <w:rsid w:val="00DC1764"/>
    <w:rsid w:val="00DC1ED8"/>
    <w:rsid w:val="00DD335E"/>
    <w:rsid w:val="00DD5F0D"/>
    <w:rsid w:val="00DE09B9"/>
    <w:rsid w:val="00E05465"/>
    <w:rsid w:val="00E06F3F"/>
    <w:rsid w:val="00E13792"/>
    <w:rsid w:val="00E1386D"/>
    <w:rsid w:val="00E16DE6"/>
    <w:rsid w:val="00E51D07"/>
    <w:rsid w:val="00E70052"/>
    <w:rsid w:val="00EC174D"/>
    <w:rsid w:val="00ED7A03"/>
    <w:rsid w:val="00F04279"/>
    <w:rsid w:val="00F17B61"/>
    <w:rsid w:val="00F2015B"/>
    <w:rsid w:val="00F208D4"/>
    <w:rsid w:val="00F30521"/>
    <w:rsid w:val="00F37E9B"/>
    <w:rsid w:val="00F55039"/>
    <w:rsid w:val="00F63362"/>
    <w:rsid w:val="00F6484F"/>
    <w:rsid w:val="00F805BE"/>
    <w:rsid w:val="00F82522"/>
    <w:rsid w:val="00F92B82"/>
    <w:rsid w:val="00FC09A9"/>
    <w:rsid w:val="00FC29CB"/>
    <w:rsid w:val="00FD1084"/>
    <w:rsid w:val="00FD5B7B"/>
    <w:rsid w:val="00FD5D11"/>
    <w:rsid w:val="00FE361B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09A3"/>
  <w15:docId w15:val="{E3632B14-1984-4E7A-8F15-B8D918E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B6"/>
  </w:style>
  <w:style w:type="paragraph" w:styleId="Footer">
    <w:name w:val="footer"/>
    <w:basedOn w:val="Normal"/>
    <w:link w:val="FooterChar"/>
    <w:uiPriority w:val="99"/>
    <w:unhideWhenUsed/>
    <w:rsid w:val="000A5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B6"/>
  </w:style>
  <w:style w:type="paragraph" w:styleId="NoSpacing">
    <w:name w:val="No Spacing"/>
    <w:uiPriority w:val="1"/>
    <w:qFormat/>
    <w:rsid w:val="000A5FB6"/>
    <w:pPr>
      <w:spacing w:after="0" w:line="240" w:lineRule="auto"/>
    </w:pPr>
  </w:style>
  <w:style w:type="table" w:styleId="TableGrid">
    <w:name w:val="Table Grid"/>
    <w:basedOn w:val="TableNormal"/>
    <w:uiPriority w:val="39"/>
    <w:rsid w:val="001D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1D16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7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8718-666E-44E8-92CD-06C98F42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APC Overnight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Moss</dc:creator>
  <cp:keywords/>
  <dc:description/>
  <cp:lastModifiedBy>Zoe Heseltine</cp:lastModifiedBy>
  <cp:revision>2</cp:revision>
  <cp:lastPrinted>2018-03-05T15:14:00Z</cp:lastPrinted>
  <dcterms:created xsi:type="dcterms:W3CDTF">2023-04-05T15:34:00Z</dcterms:created>
  <dcterms:modified xsi:type="dcterms:W3CDTF">2023-04-05T15:34:00Z</dcterms:modified>
</cp:coreProperties>
</file>